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Schedule 20 (</w:t>
      </w:r>
      <w:r w:rsidDel="00000000" w:rsidR="00000000" w:rsidRPr="00000000">
        <w:rPr>
          <w:rFonts w:ascii="Arial" w:cs="Arial" w:eastAsia="Arial" w:hAnsi="Arial"/>
          <w:b w:val="1"/>
          <w:sz w:val="36"/>
          <w:szCs w:val="36"/>
          <w:rtl w:val="0"/>
        </w:rPr>
        <w:t xml:space="preserve">Processing</w:t>
      </w:r>
      <w:r w:rsidDel="00000000" w:rsidR="00000000" w:rsidRPr="00000000">
        <w:rPr>
          <w:rFonts w:ascii="Arial" w:cs="Arial" w:eastAsia="Arial" w:hAnsi="Arial"/>
          <w:b w:val="1"/>
          <w:color w:val="000000"/>
          <w:sz w:val="36"/>
          <w:szCs w:val="36"/>
          <w:rtl w:val="0"/>
        </w:rPr>
        <w:t xml:space="preserve"> Data)</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30j0zll" w:id="1"/>
      <w:bookmarkEnd w:id="1"/>
      <w:r w:rsidDel="00000000" w:rsidR="00000000" w:rsidRPr="00000000">
        <w:rPr>
          <w:b w:val="1"/>
          <w:color w:val="000000"/>
          <w:sz w:val="24"/>
          <w:szCs w:val="24"/>
          <w:rtl w:val="0"/>
        </w:rPr>
        <w:t xml:space="preserve">Status of the Controller</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9">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Where one Party is Controller and the other Party its Processor </w:t>
      </w:r>
      <w:r w:rsidDel="00000000" w:rsidR="00000000" w:rsidRPr="00000000">
        <w:rPr>
          <w:rtl w:val="0"/>
        </w:rPr>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znysh7" w:id="3"/>
      <w:bookmarkEnd w:id="3"/>
      <w:r w:rsidDel="00000000" w:rsidR="00000000" w:rsidRPr="00000000">
        <w:rPr>
          <w:rFonts w:ascii="Arial" w:cs="Arial" w:eastAsia="Arial" w:hAnsi="Arial"/>
          <w:color w:val="000000"/>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by the Controller. </w:t>
      </w:r>
      <w:r w:rsidDel="00000000" w:rsidR="00000000" w:rsidRPr="00000000">
        <w:rPr>
          <w:rtl w:val="0"/>
        </w:rPr>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0C">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0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2et92p0" w:id="4"/>
    <w:bookmarkEnd w:id="4"/>
    <w:p w:rsidR="00000000" w:rsidDel="00000000" w:rsidP="00000000" w:rsidRDefault="00000000" w:rsidRPr="00000000" w14:paraId="0000001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bookmarkStart w:colFirst="0" w:colLast="0" w:name="tyjcwt" w:id="5"/>
    <w:bookmarkEnd w:id="5"/>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Process that Personal Data only in accordance with Annex 1 </w:t>
      </w:r>
      <w:r w:rsidDel="00000000" w:rsidR="00000000" w:rsidRPr="00000000">
        <w:rPr>
          <w:i w:val="1"/>
          <w:color w:val="000000"/>
          <w:sz w:val="24"/>
          <w:szCs w:val="24"/>
          <w:rtl w:val="0"/>
        </w:rPr>
        <w:t xml:space="preserve">(Processing Personal Data</w:t>
      </w:r>
      <w:r w:rsidDel="00000000" w:rsidR="00000000" w:rsidRPr="00000000">
        <w:rPr>
          <w:color w:val="000000"/>
          <w:sz w:val="24"/>
          <w:szCs w:val="24"/>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bookmarkStart w:colFirst="0" w:colLast="0" w:name="3dy6vkm" w:id="6"/>
    <w:bookmarkEnd w:id="6"/>
    <w:p w:rsidR="00000000" w:rsidDel="00000000" w:rsidP="00000000" w:rsidRDefault="00000000" w:rsidRPr="00000000" w14:paraId="0000001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ensure that it has in place Protective Measures, including in the case of the Supplier the measures set out in Clause 18.4 of the Core Terms</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nature of the data to be protected;</w:t>
      </w:r>
      <w:bookmarkStart w:colFirst="0" w:colLast="0" w:name="1t3h5sf" w:id="7"/>
      <w:bookmarkEnd w:id="7"/>
      <w:r w:rsidDel="00000000" w:rsidR="00000000" w:rsidRPr="00000000">
        <w:rPr>
          <w:rtl w:val="0"/>
        </w:rPr>
      </w:r>
    </w:p>
    <w:p w:rsidR="00000000" w:rsidDel="00000000" w:rsidP="00000000" w:rsidRDefault="00000000" w:rsidRPr="00000000" w14:paraId="0000001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1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17">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cost of implementing any measures; </w:t>
      </w:r>
      <w:r w:rsidDel="00000000" w:rsidR="00000000" w:rsidRPr="00000000">
        <w:rPr>
          <w:rtl w:val="0"/>
        </w:rPr>
      </w:r>
    </w:p>
    <w:bookmarkStart w:colFirst="0" w:colLast="0" w:name="4d34og8" w:id="8"/>
    <w:bookmarkEnd w:id="8"/>
    <w:p w:rsidR="00000000" w:rsidDel="00000000" w:rsidP="00000000" w:rsidRDefault="00000000" w:rsidRPr="00000000" w14:paraId="00000018">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ensure that:</w:t>
      </w:r>
      <w:r w:rsidDel="00000000" w:rsidR="00000000" w:rsidRPr="00000000">
        <w:rPr>
          <w:rtl w:val="0"/>
        </w:rPr>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Personnel do not Process Personal Data except in accordance with the Contract (and in particular Annex 1</w:t>
      </w:r>
      <w:r w:rsidDel="00000000" w:rsidR="00000000" w:rsidRPr="00000000">
        <w:rPr>
          <w:i w:val="1"/>
          <w:color w:val="000000"/>
          <w:sz w:val="24"/>
          <w:szCs w:val="24"/>
          <w:rtl w:val="0"/>
        </w:rPr>
        <w:t xml:space="preserve"> (Processing Personal Data</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1A">
      <w:pPr>
        <w:keepNext w:val="1"/>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1B">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aware of and comply with the Processor’s duties under this Schedule 20, Clauses 18 (Data protection), 19 (What you must keep confidential) and 20 (When you can share information);</w:t>
      </w:r>
      <w:r w:rsidDel="00000000" w:rsidR="00000000" w:rsidRPr="00000000">
        <w:rPr>
          <w:rtl w:val="0"/>
        </w:rPr>
      </w:r>
    </w:p>
    <w:p w:rsidR="00000000" w:rsidDel="00000000" w:rsidP="00000000" w:rsidRDefault="00000000" w:rsidRPr="00000000" w14:paraId="0000001C">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1D">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1E">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have undergone adequate training in the use, care, protection and handling of Personal Data; </w:t>
      </w:r>
      <w:r w:rsidDel="00000000" w:rsidR="00000000" w:rsidRPr="00000000">
        <w:rPr>
          <w:rtl w:val="0"/>
        </w:rPr>
      </w:r>
    </w:p>
    <w:bookmarkStart w:colFirst="0" w:colLast="0" w:name="2s8eyo1" w:id="9"/>
    <w:bookmarkEnd w:id="9"/>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17dp8vu" w:id="10"/>
    <w:bookmarkEnd w:id="10"/>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UK GDPR (or section 73 of DPA 2018); or</w:t>
      </w:r>
      <w:r w:rsidDel="00000000" w:rsidR="00000000" w:rsidRPr="00000000">
        <w:rPr>
          <w:rtl w:val="0"/>
        </w:rPr>
      </w:r>
    </w:p>
    <w:p w:rsidR="00000000" w:rsidDel="00000000" w:rsidP="00000000" w:rsidRDefault="00000000" w:rsidRPr="00000000" w14:paraId="00000021">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b w:val="1"/>
          <w:color w:val="000000"/>
          <w:sz w:val="24"/>
          <w:szCs w:val="24"/>
          <w:rtl w:val="0"/>
        </w:rPr>
        <w:t xml:space="preserve">IDTA</w:t>
      </w:r>
      <w:r w:rsidDel="00000000" w:rsidR="00000000" w:rsidRPr="00000000">
        <w:rPr>
          <w:color w:val="000000"/>
          <w:sz w:val="24"/>
          <w:szCs w:val="24"/>
          <w:rtl w:val="0"/>
        </w:rPr>
        <w:t xml:space="preserve">”), or International Data Transfer Agreement Addendum to the European Commission’s SCCs (the “</w:t>
      </w:r>
      <w:r w:rsidDel="00000000" w:rsidR="00000000" w:rsidRPr="00000000">
        <w:rPr>
          <w:b w:val="1"/>
          <w:color w:val="000000"/>
          <w:sz w:val="24"/>
          <w:szCs w:val="24"/>
          <w:rtl w:val="0"/>
        </w:rPr>
        <w:t xml:space="preserve">Addendum</w:t>
      </w:r>
      <w:r w:rsidDel="00000000" w:rsidR="00000000" w:rsidRPr="00000000">
        <w:rPr>
          <w:color w:val="000000"/>
          <w:sz w:val="24"/>
          <w:szCs w:val="24"/>
          <w:rtl w:val="0"/>
        </w:rPr>
        <w:t xml:space="preserve">”), as published by the Information Commissioner’s Office from time to time, as well as any additional measures determined by the Controller;</w:t>
      </w:r>
      <w:r w:rsidDel="00000000" w:rsidR="00000000" w:rsidRPr="00000000">
        <w:rPr>
          <w:rtl w:val="0"/>
        </w:rPr>
      </w:r>
    </w:p>
    <w:bookmarkStart w:colFirst="0" w:colLast="0" w:name="3rdcrjn" w:id="11"/>
    <w:bookmarkEnd w:id="11"/>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bookmarkStart w:colFirst="0" w:colLast="0" w:name="26in1rg" w:id="12"/>
    <w:bookmarkEnd w:id="12"/>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lnxbz9" w:id="13"/>
    <w:bookmarkEnd w:id="13"/>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complies with any reasonable instructions notified to it in advance by the Controller with respect to the Processing of the Personal Data; </w:t>
      </w:r>
      <w:r w:rsidDel="00000000" w:rsidR="00000000" w:rsidRPr="00000000">
        <w:rPr>
          <w:rtl w:val="0"/>
        </w:rPr>
      </w:r>
    </w:p>
    <w:p w:rsidR="00000000" w:rsidDel="00000000" w:rsidP="00000000" w:rsidRDefault="00000000" w:rsidRPr="00000000" w14:paraId="00000025">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r w:rsidDel="00000000" w:rsidR="00000000" w:rsidRPr="00000000">
        <w:rPr>
          <w:rtl w:val="0"/>
        </w:rPr>
      </w:r>
    </w:p>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9">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2A">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bookmarkStart w:colFirst="0" w:colLast="0" w:name="35nkun2" w:id="14"/>
    <w:bookmarkEnd w:id="14"/>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1ksv4uv" w:id="15"/>
    <w:bookmarkEnd w:id="15"/>
    <w:p w:rsidR="00000000" w:rsidDel="00000000" w:rsidP="00000000" w:rsidRDefault="00000000" w:rsidRPr="00000000" w14:paraId="0000002C">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4sinio" w:id="16"/>
      <w:bookmarkEnd w:id="16"/>
      <w:r w:rsidDel="00000000" w:rsidR="00000000" w:rsidRPr="00000000">
        <w:rPr>
          <w:rFonts w:ascii="Arial" w:cs="Arial" w:eastAsia="Arial" w:hAnsi="Arial"/>
          <w:color w:val="000000"/>
          <w:sz w:val="24"/>
          <w:szCs w:val="24"/>
          <w:rtl w:val="0"/>
        </w:rPr>
        <w:t xml:space="preserve">Subject to Paragraph 2.6 of this Schedule 20,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Processor’s obligation to notify under Paragraph 2.5 of this Schedule 20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2.5 of this Schedule 20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maintain complete and accurate records and information to demonstrate its compliance with this Schedule 20. This requirement does not apply where the Processor employs fewer than 250 staff, unless:</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z337ya" w:id="18"/>
    <w:bookmarkEnd w:id="18"/>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enter into a written agreement with the Subprocessor which give effect to the terms set out in this Schedule 20 such that they apply to the Subprocessor; and</w:t>
      </w:r>
      <w:r w:rsidDel="00000000" w:rsidR="00000000" w:rsidRPr="00000000">
        <w:rPr>
          <w:rtl w:val="0"/>
        </w:rPr>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remain fully liable for all acts or omissions of any of its Subprocessors.</w:t>
      </w:r>
      <w:r w:rsidDel="00000000" w:rsidR="00000000" w:rsidRPr="00000000">
        <w:rPr>
          <w:rtl w:val="0"/>
        </w:rPr>
      </w:r>
    </w:p>
    <w:bookmarkStart w:colFirst="0" w:colLast="0" w:name="3j2qqm3" w:id="19"/>
    <w:bookmarkEnd w:id="19"/>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Where the Parties are Joint Controllers of Personal Data </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Schedule 20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i7ojhp" w:id="21"/>
      <w:bookmarkEnd w:id="21"/>
      <w:r w:rsidDel="00000000" w:rsidR="00000000" w:rsidRPr="00000000">
        <w:rPr>
          <w:rFonts w:ascii="Arial" w:cs="Arial" w:eastAsia="Arial" w:hAnsi="Arial"/>
          <w:color w:val="000000"/>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a Party has provided Personal Data to the other Party in accordance with Paragraph 3.2 of this Schedule 20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it has recorded it in Annex 1 </w:t>
      </w:r>
      <w:r w:rsidDel="00000000" w:rsidR="00000000" w:rsidRPr="00000000">
        <w:rPr>
          <w:i w:val="1"/>
          <w:color w:val="000000"/>
          <w:sz w:val="24"/>
          <w:szCs w:val="24"/>
          <w:rtl w:val="0"/>
        </w:rPr>
        <w:t xml:space="preserve">(Processing Personal Data).</w:t>
      </w:r>
      <w:r w:rsidDel="00000000" w:rsidR="00000000" w:rsidRPr="00000000">
        <w:rPr>
          <w:rtl w:val="0"/>
        </w:rPr>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color w:val="000000"/>
          <w:sz w:val="24"/>
          <w:szCs w:val="24"/>
          <w:rtl w:val="0"/>
        </w:rPr>
        <w:t xml:space="preserve">(“Request Recipient”)</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7">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8">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9">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A">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xcytpi" w:id="22"/>
      <w:bookmarkEnd w:id="22"/>
      <w:r w:rsidDel="00000000" w:rsidR="00000000" w:rsidRPr="00000000">
        <w:rPr>
          <w:rFonts w:ascii="Arial" w:cs="Arial" w:eastAsia="Arial" w:hAnsi="Arial"/>
          <w:color w:val="000000"/>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3.2 to 3.12 of this Schedule 20.</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1 - Processing Personal Data</w:t>
      </w:r>
      <w:r w:rsidDel="00000000" w:rsidR="00000000" w:rsidRPr="00000000">
        <w:rPr>
          <w:rtl w:val="0"/>
        </w:rPr>
      </w:r>
    </w:p>
    <w:p w:rsidR="00000000" w:rsidDel="00000000" w:rsidP="00000000" w:rsidRDefault="00000000" w:rsidRPr="00000000" w14:paraId="00000064">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color w:val="000000"/>
          <w:sz w:val="24"/>
          <w:szCs w:val="24"/>
          <w:rtl w:val="0"/>
        </w:rPr>
        <w:t xml:space="preserve">This Annex shall be completed by the Controller, who may take account of the view of the Processor, however the final decision as to the content of this Annex shall be with the Buyer at its absolute discretion.  </w:t>
      </w: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contact details of the Buyer’s Data Protection Officer are: </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contact details of the Supplier’s Data Protection Officer are: </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Any such further instructions shall be incorporated into this Annex.</w:t>
      </w:r>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335"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tabs>
                <w:tab w:val="left" w:leader="none" w:pos="709"/>
              </w:tabs>
              <w:spacing w:after="120" w:lineRule="auto"/>
              <w:rPr>
                <w:rFonts w:ascii="Arial" w:cs="Arial" w:eastAsia="Arial" w:hAnsi="Arial"/>
                <w:b w:val="1"/>
                <w:i w:val="1"/>
                <w:sz w:val="24"/>
                <w:szCs w:val="24"/>
              </w:rPr>
            </w:pPr>
            <w:r w:rsidDel="00000000" w:rsidR="00000000" w:rsidRPr="00000000">
              <w:rPr>
                <w:rFonts w:ascii="Arial" w:cs="Arial" w:eastAsia="Arial" w:hAnsi="Arial"/>
                <w:sz w:val="22"/>
                <w:szCs w:val="22"/>
                <w:rtl w:val="0"/>
              </w:rPr>
              <w:t xml:space="preserve">The Parties acknowledge that they are Independent Controllers for the purposes of the Data Protection Legislation in respect of the emotional support offering. </w:t>
            </w:r>
            <w:r w:rsidDel="00000000" w:rsidR="00000000" w:rsidRPr="00000000">
              <w:rPr>
                <w:rtl w:val="0"/>
              </w:rPr>
            </w:r>
          </w:p>
        </w:tc>
      </w:tr>
      <w:tr>
        <w:trPr>
          <w:cantSplit w:val="0"/>
          <w:trHeight w:val="870"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6E">
            <w:pPr>
              <w:tabs>
                <w:tab w:val="left" w:leader="none" w:pos="709"/>
              </w:tabs>
              <w:spacing w:after="120" w:lineRule="auto"/>
              <w:ind w:left="108" w:firstLine="0"/>
              <w:rPr>
                <w:rFonts w:ascii="Arial" w:cs="Arial" w:eastAsia="Arial" w:hAnsi="Arial"/>
                <w:sz w:val="24"/>
                <w:szCs w:val="24"/>
              </w:rPr>
            </w:pPr>
            <w:r w:rsidDel="00000000" w:rsidR="00000000" w:rsidRPr="00000000">
              <w:rPr>
                <w:rFonts w:ascii="Arial" w:cs="Arial" w:eastAsia="Arial" w:hAnsi="Arial"/>
                <w:sz w:val="22"/>
                <w:szCs w:val="22"/>
                <w:rtl w:val="0"/>
              </w:rPr>
              <w:t xml:space="preserve">This processing is due to take place between contract commencement and the contract end date.</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0">
            <w:pPr>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provide a support website as a first point of contact for members of the public. The website will also include a number for SMS emotional support.</w:t>
            </w:r>
          </w:p>
          <w:p w:rsidR="00000000" w:rsidDel="00000000" w:rsidP="00000000" w:rsidRDefault="00000000" w:rsidRPr="00000000" w14:paraId="00000071">
            <w:pPr>
              <w:spacing w:after="240" w:before="240" w:lineRule="auto"/>
              <w:rPr>
                <w:rFonts w:ascii="Arial" w:cs="Arial" w:eastAsia="Arial" w:hAnsi="Arial"/>
                <w:b w:val="1"/>
                <w:i w:val="1"/>
                <w:sz w:val="24"/>
                <w:szCs w:val="24"/>
                <w:highlight w:val="yellow"/>
              </w:rPr>
            </w:pPr>
            <w:r w:rsidDel="00000000" w:rsidR="00000000" w:rsidRPr="00000000">
              <w:rPr>
                <w:rFonts w:ascii="Arial" w:cs="Arial" w:eastAsia="Arial" w:hAnsi="Arial"/>
                <w:sz w:val="22"/>
                <w:szCs w:val="22"/>
                <w:rtl w:val="0"/>
              </w:rPr>
              <w:t xml:space="preserve">Members of the public can text the number and a support worker will respond.</w:t>
            </w:r>
            <w:r w:rsidDel="00000000" w:rsidR="00000000" w:rsidRPr="00000000">
              <w:rPr>
                <w:rtl w:val="0"/>
              </w:rPr>
            </w:r>
          </w:p>
          <w:p w:rsidR="00000000" w:rsidDel="00000000" w:rsidP="00000000" w:rsidRDefault="00000000" w:rsidRPr="00000000" w14:paraId="00000072">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Inquiry will not routinely share any data with the supplier.</w:t>
            </w:r>
          </w:p>
          <w:p w:rsidR="00000000" w:rsidDel="00000000" w:rsidP="00000000" w:rsidRDefault="00000000" w:rsidRPr="00000000" w14:paraId="00000073">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not routinely share any personal data with the UK Covid 19 Inquiry, however, will provide the Inquiry with:</w:t>
            </w:r>
          </w:p>
          <w:p w:rsidR="00000000" w:rsidDel="00000000" w:rsidP="00000000" w:rsidRDefault="00000000" w:rsidRPr="00000000" w14:paraId="00000074">
            <w:pPr>
              <w:numPr>
                <w:ilvl w:val="0"/>
                <w:numId w:val="3"/>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Uptake figures</w:t>
            </w:r>
          </w:p>
          <w:p w:rsidR="00000000" w:rsidDel="00000000" w:rsidP="00000000" w:rsidRDefault="00000000" w:rsidRPr="00000000" w14:paraId="00000075">
            <w:pPr>
              <w:numPr>
                <w:ilvl w:val="0"/>
                <w:numId w:val="3"/>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Onward referrals</w:t>
            </w:r>
          </w:p>
          <w:p w:rsidR="00000000" w:rsidDel="00000000" w:rsidP="00000000" w:rsidRDefault="00000000" w:rsidRPr="00000000" w14:paraId="00000076">
            <w:pPr>
              <w:numPr>
                <w:ilvl w:val="0"/>
                <w:numId w:val="3"/>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Thematics of referrals</w:t>
            </w:r>
          </w:p>
          <w:p w:rsidR="00000000" w:rsidDel="00000000" w:rsidP="00000000" w:rsidRDefault="00000000" w:rsidRPr="00000000" w14:paraId="00000077">
            <w:pPr>
              <w:tabs>
                <w:tab w:val="left" w:leader="none" w:pos="709"/>
              </w:tabs>
              <w:spacing w:after="120" w:lineRule="auto"/>
              <w:rPr>
                <w:rFonts w:ascii="Arial" w:cs="Arial" w:eastAsia="Arial" w:hAnsi="Arial"/>
                <w:b w:val="1"/>
                <w:i w:val="1"/>
                <w:sz w:val="24"/>
                <w:szCs w:val="24"/>
                <w:highlight w:val="yellow"/>
              </w:rPr>
            </w:pPr>
            <w:r w:rsidDel="00000000" w:rsidR="00000000" w:rsidRPr="00000000">
              <w:rPr>
                <w:rFonts w:ascii="Arial" w:cs="Arial" w:eastAsia="Arial" w:hAnsi="Arial"/>
                <w:sz w:val="22"/>
                <w:szCs w:val="22"/>
                <w:rtl w:val="0"/>
              </w:rPr>
              <w:t xml:space="preserve">The supplier will share personal data with the UK Covid 19 Inquiry when there are referrals or safeguarding concerns. Data shared will be proportionate and could include names, contact details, reason for referral/safeguarding concern.</w:t>
            </w:r>
            <w:r w:rsidDel="00000000" w:rsidR="00000000" w:rsidRPr="00000000">
              <w:rPr>
                <w:rtl w:val="0"/>
              </w:rPr>
            </w:r>
          </w:p>
        </w:tc>
      </w:tr>
      <w:tr>
        <w:trPr>
          <w:cantSplit w:val="0"/>
          <w:trHeight w:val="735" w:hRule="atLeast"/>
          <w:tblHeader w:val="0"/>
        </w:trPr>
        <w:tc>
          <w:tcPr>
            <w:shd w:fill="auto" w:val="clear"/>
          </w:tcPr>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Personal and special category data.</w:t>
            </w:r>
          </w:p>
        </w:tc>
      </w:tr>
      <w:tr>
        <w:trPr>
          <w:cantSplit w:val="0"/>
          <w:trHeight w:val="915" w:hRule="atLeast"/>
          <w:tblHeader w:val="0"/>
        </w:trPr>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Members of the public</w:t>
            </w:r>
          </w:p>
        </w:tc>
      </w:tr>
      <w:tr>
        <w:trPr>
          <w:cantSplit w:val="0"/>
          <w:trHeight w:val="1660" w:hRule="atLeast"/>
          <w:tblHeader w:val="0"/>
        </w:trPr>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law to preserve that type of data</w:t>
            </w:r>
          </w:p>
        </w:tc>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rHeight w:val="1660" w:hRule="atLeast"/>
          <w:tblHeader w:val="0"/>
        </w:trPr>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Locations at which the Supplier and/or its Sub-contractors process Personal Data under this Contract</w:t>
            </w:r>
          </w:p>
        </w:tc>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Protective Measures that the Supplier and, where applicable, its Sub-contractors have implemented to protect Personal Data processed under this Contract Agreement against a breach of security (insofar as that breach of security relates to data) or a Personal Data Breach</w:t>
            </w:r>
          </w:p>
        </w:tc>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bl>
    <w:p w:rsidR="00000000" w:rsidDel="00000000" w:rsidP="00000000" w:rsidRDefault="00000000" w:rsidRPr="00000000" w14:paraId="0000008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5">
      <w:pP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Joint Controller Agreement - NOT USED</w:t>
      </w:r>
    </w:p>
    <w:p w:rsidR="00000000" w:rsidDel="00000000" w:rsidP="00000000" w:rsidRDefault="00000000" w:rsidRPr="00000000" w14:paraId="00000086">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Joint Controller Status and Allocation of Responsibilities </w:t>
      </w:r>
      <w:r w:rsidDel="00000000" w:rsidR="00000000" w:rsidRPr="00000000">
        <w:rPr>
          <w:rtl w:val="0"/>
        </w:rPr>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 2 of this Schedule 20 (Where one Party is Controller and the other Party is Processor) and Paragraphs 3.2 -3.12 of this Schedule 20 (Independent Controllers of Personal Data). Accordingly, the Parties each undertake to comply with the applicable Data Protection Legislation in respect of their Processing of such Personal Data as Data Controllers. </w:t>
      </w:r>
      <w:r w:rsidDel="00000000" w:rsidR="00000000" w:rsidRPr="00000000">
        <w:rPr>
          <w:rtl w:val="0"/>
        </w:rPr>
      </w:r>
    </w:p>
    <w:p w:rsidR="00000000" w:rsidDel="00000000" w:rsidP="00000000" w:rsidRDefault="00000000" w:rsidRPr="00000000" w14:paraId="00000088">
      <w:pPr>
        <w:keepNext w:val="1"/>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whwml4" w:id="24"/>
      <w:bookmarkEnd w:id="24"/>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highlight w:val="white"/>
          <w:rtl w:val="0"/>
        </w:rPr>
        <w:t xml:space="preserve"> Parties agree that the </w:t>
      </w:r>
      <w:r w:rsidDel="00000000" w:rsidR="00000000" w:rsidRPr="00000000">
        <w:rPr>
          <w:rFonts w:ascii="Arial" w:cs="Arial" w:eastAsia="Arial" w:hAnsi="Arial"/>
          <w:color w:val="000000"/>
          <w:sz w:val="24"/>
          <w:szCs w:val="24"/>
          <w:highlight w:val="yellow"/>
          <w:rtl w:val="0"/>
        </w:rPr>
        <w:t xml:space="preserve">[Supplier/Buyer]: </w:t>
      </w:r>
      <w:r w:rsidDel="00000000" w:rsidR="00000000" w:rsidRPr="00000000">
        <w:rPr>
          <w:rtl w:val="0"/>
        </w:rPr>
      </w:r>
    </w:p>
    <w:p w:rsidR="00000000" w:rsidDel="00000000" w:rsidP="00000000" w:rsidRDefault="00000000" w:rsidRPr="00000000" w14:paraId="00000089">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the exclusive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responsible for obtaining the informed consent of Data Subjects, in accordance with the UK GDPR, for Processing in connection with the Services where consent is the relevant legal basis for that Processing; and</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shall make available to Data Subjects the essence of this Annex (and notify them of any changes to it) concerning the allocation of responsibilities as Joint </w:t>
      </w:r>
      <w:r w:rsidDel="00000000" w:rsidR="00000000" w:rsidRPr="00000000">
        <w:rPr>
          <w:color w:val="000000"/>
          <w:sz w:val="24"/>
          <w:szCs w:val="24"/>
          <w:rtl w:val="0"/>
        </w:rPr>
        <w:t xml:space="preserve">Controller</w:t>
      </w:r>
      <w:r w:rsidDel="00000000" w:rsidR="00000000" w:rsidRPr="00000000">
        <w:rPr>
          <w:rFonts w:ascii="Arial" w:cs="Arial" w:eastAsia="Arial" w:hAnsi="Arial"/>
          <w:color w:val="000000"/>
          <w:sz w:val="24"/>
          <w:szCs w:val="24"/>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color w:val="000000"/>
          <w:sz w:val="24"/>
          <w:szCs w:val="24"/>
          <w:highlight w:val="white"/>
          <w:rtl w:val="0"/>
        </w:rPr>
        <w:t xml:space="preserve">. This must be outlined in the [</w:t>
      </w:r>
      <w:r w:rsidDel="00000000" w:rsidR="00000000" w:rsidRPr="00000000">
        <w:rPr>
          <w:rFonts w:ascii="Arial" w:cs="Arial" w:eastAsia="Arial" w:hAnsi="Arial"/>
          <w:color w:val="000000"/>
          <w:sz w:val="24"/>
          <w:szCs w:val="24"/>
          <w:highlight w:val="yellow"/>
          <w:rtl w:val="0"/>
        </w:rPr>
        <w:t xml:space="preserve">Supplier’s/Buyer’s</w:t>
      </w:r>
      <w:r w:rsidDel="00000000" w:rsidR="00000000" w:rsidRPr="00000000">
        <w:rPr>
          <w:rFonts w:ascii="Arial" w:cs="Arial" w:eastAsia="Arial" w:hAnsi="Arial"/>
          <w:color w:val="000000"/>
          <w:sz w:val="24"/>
          <w:szCs w:val="24"/>
          <w:highlight w:val="white"/>
          <w:rtl w:val="0"/>
        </w:rPr>
        <w:t xml:space="preserve">] privacy policy </w:t>
      </w:r>
      <w:r w:rsidDel="00000000" w:rsidR="00000000" w:rsidRPr="00000000">
        <w:rPr>
          <w:rFonts w:ascii="Arial" w:cs="Arial" w:eastAsia="Arial" w:hAnsi="Arial"/>
          <w:color w:val="000000"/>
          <w:sz w:val="24"/>
          <w:szCs w:val="24"/>
          <w:rtl w:val="0"/>
        </w:rPr>
        <w:t xml:space="preserve">(which must be readily available by hyperlink or otherwise on all of its public facing services and marketing).</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Notwithstanding the terms of Paragraph 1.2, the Parties acknowledge that a Data Subject </w:t>
      </w:r>
      <w:r w:rsidDel="00000000" w:rsidR="00000000" w:rsidRPr="00000000">
        <w:rPr>
          <w:rFonts w:ascii="Arial" w:cs="Arial" w:eastAsia="Arial" w:hAnsi="Arial"/>
          <w:color w:val="000000"/>
          <w:sz w:val="24"/>
          <w:szCs w:val="24"/>
          <w:highlight w:val="white"/>
          <w:rtl w:val="0"/>
        </w:rPr>
        <w:t xml:space="preserve">has</w:t>
      </w:r>
      <w:r w:rsidDel="00000000" w:rsidR="00000000" w:rsidRPr="00000000">
        <w:rPr>
          <w:rFonts w:ascii="Arial" w:cs="Arial" w:eastAsia="Arial" w:hAnsi="Arial"/>
          <w:color w:val="000000"/>
          <w:sz w:val="24"/>
          <w:szCs w:val="24"/>
          <w:rtl w:val="0"/>
        </w:rPr>
        <w:t xml:space="preserve"> the right to exercise their legal rights under the Data Protection Legislation as against the relevant Party as Controller.</w:t>
      </w:r>
      <w:r w:rsidDel="00000000" w:rsidR="00000000" w:rsidRPr="00000000">
        <w:rPr>
          <w:rtl w:val="0"/>
        </w:rPr>
      </w:r>
    </w:p>
    <w:p w:rsidR="00000000" w:rsidDel="00000000" w:rsidP="00000000" w:rsidRDefault="00000000" w:rsidRPr="00000000" w14:paraId="0000008F">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Undertakings of both Parties</w:t>
      </w:r>
      <w:r w:rsidDel="00000000" w:rsidR="00000000" w:rsidRPr="00000000">
        <w:rPr>
          <w:rtl w:val="0"/>
        </w:rPr>
      </w:r>
    </w:p>
    <w:p w:rsidR="00000000" w:rsidDel="00000000" w:rsidP="00000000" w:rsidRDefault="00000000" w:rsidRPr="00000000" w14:paraId="00000090">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Supplier and the Buyer each undertake that they shall: </w:t>
      </w:r>
      <w:r w:rsidDel="00000000" w:rsidR="00000000" w:rsidRPr="00000000">
        <w:rPr>
          <w:rtl w:val="0"/>
        </w:rPr>
      </w:r>
    </w:p>
    <w:p w:rsidR="00000000" w:rsidDel="00000000" w:rsidP="00000000" w:rsidRDefault="00000000" w:rsidRPr="00000000" w14:paraId="00000091">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report to the other Party every </w:t>
      </w:r>
      <w:r w:rsidDel="00000000" w:rsidR="00000000" w:rsidRPr="00000000">
        <w:rPr>
          <w:rFonts w:ascii="Arial" w:cs="Arial" w:eastAsia="Arial" w:hAnsi="Arial"/>
          <w:color w:val="000000"/>
          <w:sz w:val="24"/>
          <w:szCs w:val="24"/>
          <w:highlight w:val="yellow"/>
          <w:rtl w:val="0"/>
        </w:rPr>
        <w:t xml:space="preserve">[x]</w:t>
      </w:r>
      <w:r w:rsidDel="00000000" w:rsidR="00000000" w:rsidRPr="00000000">
        <w:rPr>
          <w:rFonts w:ascii="Arial" w:cs="Arial" w:eastAsia="Arial" w:hAnsi="Arial"/>
          <w:color w:val="000000"/>
          <w:sz w:val="24"/>
          <w:szCs w:val="24"/>
          <w:rtl w:val="0"/>
        </w:rPr>
        <w:t xml:space="preserve"> months on:</w:t>
      </w:r>
      <w:r w:rsidDel="00000000" w:rsidR="00000000" w:rsidRPr="00000000">
        <w:rPr>
          <w:rtl w:val="0"/>
        </w:rPr>
      </w:r>
    </w:p>
    <w:p w:rsidR="00000000" w:rsidDel="00000000" w:rsidP="00000000" w:rsidRDefault="00000000" w:rsidRPr="00000000" w14:paraId="00000092">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w:t>
      </w:r>
      <w:r w:rsidDel="00000000" w:rsidR="00000000" w:rsidRPr="00000000">
        <w:rPr>
          <w:color w:val="000000"/>
          <w:sz w:val="24"/>
          <w:szCs w:val="24"/>
          <w:rtl w:val="0"/>
        </w:rPr>
        <w:t xml:space="preserve">volume</w:t>
      </w:r>
      <w:r w:rsidDel="00000000" w:rsidR="00000000" w:rsidRPr="00000000">
        <w:rPr>
          <w:rFonts w:ascii="Arial" w:cs="Arial" w:eastAsia="Arial" w:hAnsi="Arial"/>
          <w:color w:val="000000"/>
          <w:sz w:val="24"/>
          <w:szCs w:val="24"/>
          <w:rtl w:val="0"/>
        </w:rPr>
        <w:t xml:space="preserve"> of Data Subject Access Request (or purported Data Subject Access Requests) from Data Subjects (or third parties on their behalf);</w:t>
      </w:r>
    </w:p>
    <w:p w:rsidR="00000000" w:rsidDel="00000000" w:rsidP="00000000" w:rsidRDefault="00000000" w:rsidRPr="00000000" w14:paraId="00000093">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the volume of requests from Data Subjects (or third parties on their behalf) to rectify, block or erase any Personal </w:t>
      </w:r>
      <w:r w:rsidDel="00000000" w:rsidR="00000000" w:rsidRPr="00000000">
        <w:rPr>
          <w:color w:val="000000"/>
          <w:sz w:val="24"/>
          <w:szCs w:val="24"/>
          <w:rtl w:val="0"/>
        </w:rPr>
        <w:t xml:space="preserve">Data</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4">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qsh70q" w:id="26"/>
      <w:bookmarkEnd w:id="26"/>
      <w:r w:rsidDel="00000000" w:rsidR="00000000" w:rsidRPr="00000000">
        <w:rPr>
          <w:rFonts w:ascii="Arial" w:cs="Arial" w:eastAsia="Arial" w:hAnsi="Arial"/>
          <w:color w:val="000000"/>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5">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any communications from the Information Commissioner or any </w:t>
      </w:r>
      <w:r w:rsidDel="00000000" w:rsidR="00000000" w:rsidRPr="00000000">
        <w:rPr>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regulatory authority in connection with Personal Data; and</w:t>
      </w:r>
    </w:p>
    <w:p w:rsidR="00000000" w:rsidDel="00000000" w:rsidP="00000000" w:rsidRDefault="00000000" w:rsidRPr="00000000" w14:paraId="00000096">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3as4poj" w:id="27"/>
      <w:bookmarkEnd w:id="27"/>
      <w:r w:rsidDel="00000000" w:rsidR="00000000" w:rsidRPr="00000000">
        <w:rPr>
          <w:rFonts w:ascii="Arial" w:cs="Arial" w:eastAsia="Arial" w:hAnsi="Arial"/>
          <w:color w:val="000000"/>
          <w:sz w:val="24"/>
          <w:szCs w:val="24"/>
          <w:rtl w:val="0"/>
        </w:rPr>
        <w:t xml:space="preserve">any requests from any third party for disclosure of Personal Data </w:t>
      </w:r>
      <w:r w:rsidDel="00000000" w:rsidR="00000000" w:rsidRPr="00000000">
        <w:rPr>
          <w:color w:val="000000"/>
          <w:sz w:val="24"/>
          <w:szCs w:val="24"/>
          <w:rtl w:val="0"/>
        </w:rPr>
        <w:t xml:space="preserve">where</w:t>
      </w:r>
      <w:r w:rsidDel="00000000" w:rsidR="00000000" w:rsidRPr="00000000">
        <w:rPr>
          <w:rFonts w:ascii="Arial" w:cs="Arial" w:eastAsia="Arial" w:hAnsi="Arial"/>
          <w:color w:val="000000"/>
          <w:sz w:val="24"/>
          <w:szCs w:val="24"/>
          <w:rtl w:val="0"/>
        </w:rPr>
        <w:t xml:space="preserve"> compliance with such request is required or purported to be required by Law,</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it has received in relation to the subject matter of the Contract during that period; </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notify each other immediately if it receives any</w:t>
      </w:r>
      <w:r w:rsidDel="00000000" w:rsidR="00000000" w:rsidRPr="00000000">
        <w:rPr>
          <w:rFonts w:ascii="Arial" w:cs="Arial" w:eastAsia="Arial" w:hAnsi="Arial"/>
          <w:color w:val="000000"/>
          <w:sz w:val="24"/>
          <w:szCs w:val="24"/>
          <w:rtl w:val="0"/>
        </w:rPr>
        <w:t xml:space="preserve"> request, complaint or communication made as referred to in Paragraphs ‎2.1.1(a) to ‎(e); </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provide the other Party with full cooperation and assistance in relation to any request, complaint or communication made as referred to in Paragraphs ‎2.1.1(c) to ‎(e) to enable the other Party to comply with the relevant timescales set out in the Data Protection Legislation;</w:t>
      </w:r>
    </w:p>
    <w:p w:rsidR="00000000" w:rsidDel="00000000" w:rsidP="00000000" w:rsidRDefault="00000000" w:rsidRPr="00000000" w14:paraId="0000009A">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not disclose or transfer the Personal Data to any third party unless </w:t>
      </w:r>
      <w:r w:rsidDel="00000000" w:rsidR="00000000" w:rsidRPr="00000000">
        <w:rPr>
          <w:rFonts w:ascii="Arial" w:cs="Arial" w:eastAsia="Arial" w:hAnsi="Arial"/>
          <w:color w:val="000000"/>
          <w:sz w:val="24"/>
          <w:szCs w:val="24"/>
          <w:highlight w:val="white"/>
          <w:rtl w:val="0"/>
        </w:rPr>
        <w:t xml:space="preserve">necessary</w:t>
      </w:r>
      <w:r w:rsidDel="00000000" w:rsidR="00000000" w:rsidRPr="00000000">
        <w:rPr>
          <w:rFonts w:ascii="Arial" w:cs="Arial" w:eastAsia="Arial" w:hAnsi="Arial"/>
          <w:color w:val="000000"/>
          <w:sz w:val="24"/>
          <w:szCs w:val="24"/>
          <w:rtl w:val="0"/>
        </w:rPr>
        <w:t xml:space="preserve"> for the provision of the Services and, for any disclosure or transfer of Personal Data to any third party, (save where such disclosure or transfer is specifically authorised under the Contract or is required by Law) that disclosure or transfer of Personal Data </w:t>
      </w:r>
      <w:r w:rsidDel="00000000" w:rsidR="00000000" w:rsidRPr="00000000">
        <w:rPr>
          <w:color w:val="000000"/>
          <w:sz w:val="24"/>
          <w:szCs w:val="24"/>
          <w:rtl w:val="0"/>
        </w:rPr>
        <w:t xml:space="preserve">is otherwise considered to be lawful processing of that Personal Data in accordance with Article 6 of the UK GDPR or EU GDPR (as the context requires). </w:t>
      </w:r>
      <w:r w:rsidDel="00000000" w:rsidR="00000000" w:rsidRPr="00000000">
        <w:rPr>
          <w:rFonts w:ascii="Arial" w:cs="Arial" w:eastAsia="Arial" w:hAnsi="Arial"/>
          <w:color w:val="000000"/>
          <w:sz w:val="24"/>
          <w:szCs w:val="24"/>
          <w:rtl w:val="0"/>
        </w:rPr>
        <w:t xml:space="preserve">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B">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request from the Data Subject only the minimum information necessary to </w:t>
      </w:r>
      <w:r w:rsidDel="00000000" w:rsidR="00000000" w:rsidRPr="00000000">
        <w:rPr>
          <w:rFonts w:ascii="Arial" w:cs="Arial" w:eastAsia="Arial" w:hAnsi="Arial"/>
          <w:color w:val="000000"/>
          <w:sz w:val="24"/>
          <w:szCs w:val="24"/>
          <w:highlight w:val="white"/>
          <w:rtl w:val="0"/>
        </w:rPr>
        <w:t xml:space="preserve">provide</w:t>
      </w:r>
      <w:r w:rsidDel="00000000" w:rsidR="00000000" w:rsidRPr="00000000">
        <w:rPr>
          <w:rFonts w:ascii="Arial" w:cs="Arial" w:eastAsia="Arial" w:hAnsi="Arial"/>
          <w:color w:val="000000"/>
          <w:sz w:val="24"/>
          <w:szCs w:val="24"/>
          <w:rtl w:val="0"/>
        </w:rPr>
        <w:t xml:space="preserve"> the Services and treat such extracted information as Confidential Information;</w:t>
      </w:r>
    </w:p>
    <w:p w:rsidR="00000000" w:rsidDel="00000000" w:rsidP="00000000" w:rsidRDefault="00000000" w:rsidRPr="00000000" w14:paraId="0000009C">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ensure</w:t>
      </w:r>
      <w:r w:rsidDel="00000000" w:rsidR="00000000" w:rsidRPr="00000000">
        <w:rPr>
          <w:rFonts w:ascii="Arial" w:cs="Arial" w:eastAsia="Arial" w:hAnsi="Arial"/>
          <w:color w:val="000000"/>
          <w:sz w:val="24"/>
          <w:szCs w:val="24"/>
          <w:rtl w:val="0"/>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D">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use all reasonable endeavours to ensure the reliability and integrity of any of its </w:t>
      </w:r>
      <w:r w:rsidDel="00000000" w:rsidR="00000000" w:rsidRPr="00000000">
        <w:rPr>
          <w:rFonts w:ascii="Arial" w:cs="Arial" w:eastAsia="Arial" w:hAnsi="Arial"/>
          <w:color w:val="000000"/>
          <w:sz w:val="24"/>
          <w:szCs w:val="24"/>
          <w:highlight w:val="white"/>
          <w:rtl w:val="0"/>
        </w:rPr>
        <w:t xml:space="preserve">Personnel</w:t>
      </w:r>
      <w:r w:rsidDel="00000000" w:rsidR="00000000" w:rsidRPr="00000000">
        <w:rPr>
          <w:rFonts w:ascii="Arial" w:cs="Arial" w:eastAsia="Arial" w:hAnsi="Arial"/>
          <w:color w:val="000000"/>
          <w:sz w:val="24"/>
          <w:szCs w:val="24"/>
          <w:rtl w:val="0"/>
        </w:rPr>
        <w:t xml:space="preserve"> who have access to the Personal Data and ensure that its Personnel:</w:t>
      </w:r>
    </w:p>
    <w:p w:rsidR="00000000" w:rsidDel="00000000" w:rsidP="00000000" w:rsidRDefault="00000000" w:rsidRPr="00000000" w14:paraId="0000009E">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F">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0">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1">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ensure </w:t>
      </w:r>
      <w:r w:rsidDel="00000000" w:rsidR="00000000" w:rsidRPr="00000000">
        <w:rPr>
          <w:rFonts w:ascii="Arial" w:cs="Arial" w:eastAsia="Arial" w:hAnsi="Arial"/>
          <w:color w:val="000000"/>
          <w:sz w:val="24"/>
          <w:szCs w:val="24"/>
          <w:highlight w:val="white"/>
          <w:rtl w:val="0"/>
        </w:rPr>
        <w:t xml:space="preserve">that</w:t>
      </w:r>
      <w:r w:rsidDel="00000000" w:rsidR="00000000" w:rsidRPr="00000000">
        <w:rPr>
          <w:rFonts w:ascii="Arial" w:cs="Arial" w:eastAsia="Arial" w:hAnsi="Arial"/>
          <w:color w:val="000000"/>
          <w:sz w:val="24"/>
          <w:szCs w:val="24"/>
          <w:rtl w:val="0"/>
        </w:rPr>
        <w:t xml:space="preserve"> it has in place Protective Measures as appropriate to protect against a Personal Data Breach having taken account of the:</w:t>
      </w:r>
    </w:p>
    <w:p w:rsidR="00000000" w:rsidDel="00000000" w:rsidP="00000000" w:rsidRDefault="00000000" w:rsidRPr="00000000" w14:paraId="000000A2">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nature of the data to be protected;</w:t>
      </w:r>
    </w:p>
    <w:p w:rsidR="00000000" w:rsidDel="00000000" w:rsidP="00000000" w:rsidRDefault="00000000" w:rsidRPr="00000000" w14:paraId="000000A3">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harm that might result from a Personal Data Breach;</w:t>
      </w:r>
    </w:p>
    <w:p w:rsidR="00000000" w:rsidDel="00000000" w:rsidP="00000000" w:rsidRDefault="00000000" w:rsidRPr="00000000" w14:paraId="000000A4">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state of technological development; and</w:t>
      </w:r>
    </w:p>
    <w:p w:rsidR="00000000" w:rsidDel="00000000" w:rsidP="00000000" w:rsidRDefault="00000000" w:rsidRPr="00000000" w14:paraId="000000A5">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cost of implementing any measures;</w:t>
      </w:r>
    </w:p>
    <w:p w:rsidR="00000000" w:rsidDel="00000000" w:rsidP="00000000" w:rsidRDefault="00000000" w:rsidRPr="00000000" w14:paraId="000000A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ensure that it has the capability (whether technological or otherwise), to </w:t>
      </w:r>
      <w:r w:rsidDel="00000000" w:rsidR="00000000" w:rsidRPr="00000000">
        <w:rPr>
          <w:rFonts w:ascii="Arial" w:cs="Arial" w:eastAsia="Arial" w:hAnsi="Arial"/>
          <w:color w:val="000000"/>
          <w:sz w:val="24"/>
          <w:szCs w:val="24"/>
          <w:highlight w:val="white"/>
          <w:rtl w:val="0"/>
        </w:rPr>
        <w:t xml:space="preserve">the</w:t>
      </w:r>
      <w:r w:rsidDel="00000000" w:rsidR="00000000" w:rsidRPr="00000000">
        <w:rPr>
          <w:rFonts w:ascii="Arial" w:cs="Arial" w:eastAsia="Arial" w:hAnsi="Arial"/>
          <w:color w:val="000000"/>
          <w:sz w:val="24"/>
          <w:szCs w:val="24"/>
          <w:rtl w:val="0"/>
        </w:rPr>
        <w:t xml:space="preserve"> extent required by Data Protection Legislation, to provide or correct or delete at the request of a Data Subject all the Personal Data relating to that Data Subject that the Supplier holds; and</w:t>
      </w:r>
    </w:p>
    <w:p w:rsidR="00000000" w:rsidDel="00000000" w:rsidP="00000000" w:rsidRDefault="00000000" w:rsidRPr="00000000" w14:paraId="000000A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ensure</w:t>
      </w:r>
      <w:r w:rsidDel="00000000" w:rsidR="00000000" w:rsidRPr="00000000">
        <w:rPr>
          <w:rFonts w:ascii="Arial" w:cs="Arial" w:eastAsia="Arial" w:hAnsi="Arial"/>
          <w:color w:val="000000"/>
          <w:sz w:val="24"/>
          <w:szCs w:val="24"/>
          <w:rtl w:val="0"/>
        </w:rPr>
        <w:t xml:space="preserve"> that it notifies the other Party as soon as it becomes aware of a Personal Data Breach;</w:t>
      </w:r>
    </w:p>
    <w:p w:rsidR="00000000" w:rsidDel="00000000" w:rsidP="00000000" w:rsidRDefault="00000000" w:rsidRPr="00000000" w14:paraId="000000A8">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UK GDPR, not transfer </w:t>
      </w:r>
      <w:r w:rsidDel="00000000" w:rsidR="00000000" w:rsidRPr="00000000">
        <w:rPr>
          <w:rFonts w:ascii="Arial" w:cs="Arial" w:eastAsia="Arial" w:hAnsi="Arial"/>
          <w:color w:val="000000"/>
          <w:sz w:val="24"/>
          <w:szCs w:val="24"/>
          <w:highlight w:val="white"/>
          <w:rtl w:val="0"/>
        </w:rPr>
        <w:t xml:space="preserve">such</w:t>
      </w:r>
      <w:r w:rsidDel="00000000" w:rsidR="00000000" w:rsidRPr="00000000">
        <w:rPr>
          <w:color w:val="000000"/>
          <w:sz w:val="24"/>
          <w:szCs w:val="24"/>
          <w:rtl w:val="0"/>
        </w:rPr>
        <w:t xml:space="preserve"> Personal Data outside of the UK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A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w:t>
      </w:r>
      <w:r w:rsidDel="00000000" w:rsidR="00000000" w:rsidRPr="00000000">
        <w:rPr>
          <w:rFonts w:ascii="Arial" w:cs="Arial" w:eastAsia="Arial" w:hAnsi="Arial"/>
          <w:color w:val="000000"/>
          <w:sz w:val="24"/>
          <w:szCs w:val="24"/>
          <w:rtl w:val="0"/>
        </w:rPr>
        <w:t xml:space="preserve">transfer</w:t>
      </w:r>
      <w:r w:rsidDel="00000000" w:rsidR="00000000" w:rsidRPr="00000000">
        <w:rPr>
          <w:color w:val="000000"/>
          <w:sz w:val="24"/>
          <w:szCs w:val="24"/>
          <w:rtl w:val="0"/>
        </w:rPr>
        <w:t xml:space="preserve"> is in accordance with Article 45 of the UK GDPR or DPA 2018 Section 73; or</w:t>
      </w:r>
      <w:r w:rsidDel="00000000" w:rsidR="00000000" w:rsidRPr="00000000">
        <w:rPr>
          <w:rtl w:val="0"/>
        </w:rPr>
      </w:r>
    </w:p>
    <w:p w:rsidR="00000000" w:rsidDel="00000000" w:rsidP="00000000" w:rsidRDefault="00000000" w:rsidRPr="00000000" w14:paraId="000000AA">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bookmarkStart w:colFirst="0" w:colLast="0" w:name="_1pxezwc" w:id="28"/>
      <w:bookmarkEnd w:id="28"/>
      <w:r w:rsidDel="00000000" w:rsidR="00000000" w:rsidRPr="00000000">
        <w:rPr>
          <w:color w:val="000000"/>
          <w:sz w:val="24"/>
          <w:szCs w:val="24"/>
          <w:rtl w:val="0"/>
        </w:rPr>
        <w:t xml:space="preserve">the </w:t>
      </w:r>
      <w:r w:rsidDel="00000000" w:rsidR="00000000" w:rsidRPr="00000000">
        <w:rPr>
          <w:rFonts w:ascii="Arial" w:cs="Arial" w:eastAsia="Arial" w:hAnsi="Arial"/>
          <w:color w:val="000000"/>
          <w:sz w:val="24"/>
          <w:szCs w:val="24"/>
          <w:rtl w:val="0"/>
        </w:rPr>
        <w:t xml:space="preserve">transferring</w:t>
      </w:r>
      <w:r w:rsidDel="00000000" w:rsidR="00000000" w:rsidRPr="00000000">
        <w:rPr>
          <w:color w:val="000000"/>
          <w:sz w:val="24"/>
          <w:szCs w:val="24"/>
          <w:rtl w:val="0"/>
        </w:rPr>
        <w:t xml:space="preserve"> Party has provided appropriate safeguards in relation to the transfer (whether in accordance with Article 46 of the UK GDPR or DPA 2018 Section 75) as agreed with the non-transferring Party which could include the International Data Transfer Agreement (the “</w:t>
      </w:r>
      <w:r w:rsidDel="00000000" w:rsidR="00000000" w:rsidRPr="00000000">
        <w:rPr>
          <w:b w:val="1"/>
          <w:color w:val="000000"/>
          <w:sz w:val="24"/>
          <w:szCs w:val="24"/>
          <w:rtl w:val="0"/>
        </w:rPr>
        <w:t xml:space="preserve">IDTA</w:t>
      </w:r>
      <w:r w:rsidDel="00000000" w:rsidR="00000000" w:rsidRPr="00000000">
        <w:rPr>
          <w:color w:val="000000"/>
          <w:sz w:val="24"/>
          <w:szCs w:val="24"/>
          <w:rtl w:val="0"/>
        </w:rPr>
        <w:t xml:space="preserve">”), or International Data Transfer Agreement Addendum to the European Commission’s SCCs (the “</w:t>
      </w:r>
      <w:r w:rsidDel="00000000" w:rsidR="00000000" w:rsidRPr="00000000">
        <w:rPr>
          <w:b w:val="1"/>
          <w:color w:val="000000"/>
          <w:sz w:val="24"/>
          <w:szCs w:val="24"/>
          <w:rtl w:val="0"/>
        </w:rPr>
        <w:t xml:space="preserve">Addendum</w:t>
      </w:r>
      <w:r w:rsidDel="00000000" w:rsidR="00000000" w:rsidRPr="00000000">
        <w:rPr>
          <w:color w:val="000000"/>
          <w:sz w:val="24"/>
          <w:szCs w:val="24"/>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AB">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AC">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AD">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AE">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EU GDPR, not transfer such Personal Data outside of the EU unless the prior written consent of non-transferring Party has been obtained and the following conditions are fulfilled:</w:t>
      </w:r>
      <w:r w:rsidDel="00000000" w:rsidR="00000000" w:rsidRPr="00000000">
        <w:rPr>
          <w:rtl w:val="0"/>
        </w:rPr>
      </w:r>
    </w:p>
    <w:p w:rsidR="00000000" w:rsidDel="00000000" w:rsidP="00000000" w:rsidRDefault="00000000" w:rsidRPr="00000000" w14:paraId="000000AF">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B0">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as well as any additional measures;</w:t>
      </w:r>
      <w:r w:rsidDel="00000000" w:rsidR="00000000" w:rsidRPr="00000000">
        <w:rPr>
          <w:rtl w:val="0"/>
        </w:rPr>
      </w:r>
    </w:p>
    <w:p w:rsidR="00000000" w:rsidDel="00000000" w:rsidP="00000000" w:rsidRDefault="00000000" w:rsidRPr="00000000" w14:paraId="000000B1">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2">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3">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w:t>
      </w:r>
      <w:r w:rsidDel="00000000" w:rsidR="00000000" w:rsidRPr="00000000">
        <w:rPr>
          <w:rtl w:val="0"/>
        </w:rPr>
      </w:r>
    </w:p>
    <w:p w:rsidR="00000000" w:rsidDel="00000000" w:rsidP="00000000" w:rsidRDefault="00000000" w:rsidRPr="00000000" w14:paraId="000000B4">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5">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Data Protection Breach</w:t>
      </w:r>
      <w:r w:rsidDel="00000000" w:rsidR="00000000" w:rsidRPr="00000000">
        <w:rPr>
          <w:rtl w:val="0"/>
        </w:rPr>
      </w:r>
    </w:p>
    <w:p w:rsidR="00000000" w:rsidDel="00000000" w:rsidP="00000000" w:rsidRDefault="00000000" w:rsidRPr="00000000" w14:paraId="000000B6">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Without prejudice to Paragraph ‎3.2, each Party shall notify the other Party promptly and without undue delay, and in any event within 48 hours, upon becoming aware of any Personal Data Breach or circumstances that are likely to give rise to a Personal Data Breach, providing the Buyer and its advisors with:</w:t>
      </w:r>
      <w:r w:rsidDel="00000000" w:rsidR="00000000" w:rsidRPr="00000000">
        <w:rPr>
          <w:rtl w:val="0"/>
        </w:rPr>
      </w:r>
    </w:p>
    <w:p w:rsidR="00000000" w:rsidDel="00000000" w:rsidP="00000000" w:rsidRDefault="00000000" w:rsidRPr="00000000" w14:paraId="000000B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sufficient information and in a timescale which allows the other Party to meet any obligations to report a Personal Data Breach under the Data Protection Legislation;</w:t>
      </w:r>
    </w:p>
    <w:p w:rsidR="00000000" w:rsidDel="00000000" w:rsidP="00000000" w:rsidRDefault="00000000" w:rsidRPr="00000000" w14:paraId="000000B8">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all reasonable assistance, including:</w:t>
      </w:r>
    </w:p>
    <w:p w:rsidR="00000000" w:rsidDel="00000000" w:rsidP="00000000" w:rsidRDefault="00000000" w:rsidRPr="00000000" w14:paraId="000000B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A">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co-operation with the other Party including using such reasonable endeavours as are directed by the Buyer to assist in the investigation, mitigation and remediation of a Personal Data Breach;</w:t>
      </w:r>
    </w:p>
    <w:p w:rsidR="00000000" w:rsidDel="00000000" w:rsidP="00000000" w:rsidRDefault="00000000" w:rsidRPr="00000000" w14:paraId="000000BB">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C">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p>
    <w:p w:rsidR="00000000" w:rsidDel="00000000" w:rsidP="00000000" w:rsidRDefault="00000000" w:rsidRPr="00000000" w14:paraId="000000BD">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9x2ik5" w:id="29"/>
      <w:bookmarkEnd w:id="29"/>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nature of the Personal Data Breach; </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nature of Personal Data affected;</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categories and number of Data Subjects concerned;</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measures taken or proposed to be taken to address the Personal Data Breach; and</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describe the likely consequences of the Personal Data Breach.</w:t>
      </w:r>
    </w:p>
    <w:p w:rsidR="00000000" w:rsidDel="00000000" w:rsidP="00000000" w:rsidRDefault="00000000" w:rsidRPr="00000000" w14:paraId="000000C4">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Audit</w:t>
      </w:r>
      <w:r w:rsidDel="00000000" w:rsidR="00000000" w:rsidRPr="00000000">
        <w:rPr>
          <w:rtl w:val="0"/>
        </w:rPr>
      </w:r>
    </w:p>
    <w:p w:rsidR="00000000" w:rsidDel="00000000" w:rsidP="00000000" w:rsidRDefault="00000000" w:rsidRPr="00000000" w14:paraId="000000C5">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p2csry" w:id="30"/>
      <w:bookmarkEnd w:id="30"/>
      <w:r w:rsidDel="00000000" w:rsidR="00000000" w:rsidRPr="00000000">
        <w:rPr>
          <w:rFonts w:ascii="Arial" w:cs="Arial" w:eastAsia="Arial" w:hAnsi="Arial"/>
          <w:color w:val="000000"/>
          <w:sz w:val="24"/>
          <w:szCs w:val="24"/>
          <w:rtl w:val="0"/>
        </w:rPr>
        <w:t xml:space="preserve">The Supplier shall permit:</w:t>
      </w:r>
      <w:r w:rsidDel="00000000" w:rsidR="00000000" w:rsidRPr="00000000">
        <w:rPr>
          <w:rtl w:val="0"/>
        </w:rPr>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8">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Buyer may, in its sole discretion, require the Supplier to provide evidence of the Supplier’s compliance with Paragraph  ‎4.1 in lieu of conducting such an audit, assessment or inspection.</w:t>
      </w:r>
      <w:r w:rsidDel="00000000" w:rsidR="00000000" w:rsidRPr="00000000">
        <w:rPr>
          <w:rtl w:val="0"/>
        </w:rPr>
      </w:r>
    </w:p>
    <w:p w:rsidR="00000000" w:rsidDel="00000000" w:rsidP="00000000" w:rsidRDefault="00000000" w:rsidRPr="00000000" w14:paraId="000000C9">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Impact Assessments</w:t>
      </w:r>
      <w:r w:rsidDel="00000000" w:rsidR="00000000" w:rsidRPr="00000000">
        <w:rPr>
          <w:rtl w:val="0"/>
        </w:rPr>
      </w:r>
    </w:p>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CC">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CD">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ICO Guidance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F">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Liabilities for Data Protection Breach</w:t>
      </w:r>
      <w:r w:rsidDel="00000000" w:rsidR="00000000" w:rsidRPr="00000000">
        <w:rPr>
          <w:rtl w:val="0"/>
        </w:rPr>
      </w:r>
    </w:p>
    <w:p w:rsidR="00000000" w:rsidDel="00000000" w:rsidP="00000000" w:rsidRDefault="00000000" w:rsidRPr="00000000" w14:paraId="000000D0">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Buyer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39 of the Core Terms (Resolving disputes). </w:t>
      </w:r>
      <w:r w:rsidDel="00000000" w:rsidR="00000000" w:rsidRPr="00000000">
        <w:rPr>
          <w:rtl w:val="0"/>
        </w:rPr>
      </w:r>
    </w:p>
    <w:p w:rsidR="00000000" w:rsidDel="00000000" w:rsidP="00000000" w:rsidRDefault="00000000" w:rsidRPr="00000000" w14:paraId="000000D4">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47n2zr" w:id="31"/>
      <w:bookmarkEnd w:id="31"/>
      <w:r w:rsidDel="00000000" w:rsidR="00000000" w:rsidRPr="00000000">
        <w:rPr>
          <w:rFonts w:ascii="Arial" w:cs="Arial" w:eastAsia="Arial" w:hAnsi="Arial"/>
          <w:color w:val="000000"/>
          <w:sz w:val="24"/>
          <w:szCs w:val="24"/>
          <w:rtl w:val="0"/>
        </w:rPr>
        <w:t xml:space="preserve">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5">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o7alnk" w:id="32"/>
      <w:bookmarkEnd w:id="32"/>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the Buyer is responsible for the relevant Personal Data Breach, then the Buyer shall be responsible for the Claim Losses;</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8">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responsibility for the relevant Personal Data Breach is unclear, then the Buyer and the Supplier shall be responsible for the Claim Losses equally. </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Nothing in either Paragraph‎7.2 or Paragraph‎7.3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r w:rsidDel="00000000" w:rsidR="00000000" w:rsidRPr="00000000">
        <w:rPr>
          <w:rtl w:val="0"/>
        </w:rPr>
      </w:r>
    </w:p>
    <w:p w:rsidR="00000000" w:rsidDel="00000000" w:rsidP="00000000" w:rsidRDefault="00000000" w:rsidRPr="00000000" w14:paraId="000000DA">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Termination</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is in material Default under any of its obligations under this Annex 2 (</w:t>
      </w:r>
      <w:r w:rsidDel="00000000" w:rsidR="00000000" w:rsidRPr="00000000">
        <w:rPr>
          <w:rFonts w:ascii="Arial" w:cs="Arial" w:eastAsia="Arial" w:hAnsi="Arial"/>
          <w:i w:val="1"/>
          <w:color w:val="000000"/>
          <w:sz w:val="24"/>
          <w:szCs w:val="24"/>
          <w:rtl w:val="0"/>
        </w:rPr>
        <w:t xml:space="preserve">Joint Controller Agreement</w:t>
      </w:r>
      <w:r w:rsidDel="00000000" w:rsidR="00000000" w:rsidRPr="00000000">
        <w:rPr>
          <w:rFonts w:ascii="Arial" w:cs="Arial" w:eastAsia="Arial" w:hAnsi="Arial"/>
          <w:color w:val="000000"/>
          <w:sz w:val="24"/>
          <w:szCs w:val="24"/>
          <w:rtl w:val="0"/>
        </w:rPr>
        <w:t xml:space="preserve">), the Buyer shall be entitled to terminate the Contract by issuing a Termination Notice to the Supplier in accordance with Clause 14 of the Core Terms (Ending the contract).</w:t>
      </w:r>
    </w:p>
    <w:p w:rsidR="00000000" w:rsidDel="00000000" w:rsidP="00000000" w:rsidRDefault="00000000" w:rsidRPr="00000000" w14:paraId="000000DC">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Sub-Processing</w:t>
      </w:r>
    </w:p>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0">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Data Retention</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bookmarkStart w:colFirst="0" w:colLast="0" w:name="23ckvvd" w:id="33"/>
    <w:bookmarkEnd w:id="33"/>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bookmarkStart w:colFirst="0" w:colLast="0" w:name="_ihv636" w:id="34"/>
      <w:bookmarkEnd w:id="34"/>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B">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Mid-tier contract – Version 1.1</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20 (Processing Data)</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